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66E52" w14:textId="366FA4DF" w:rsidR="00AB261E" w:rsidRDefault="000764F7" w:rsidP="00AB261E">
      <w:pPr>
        <w:pStyle w:val="Titolo1"/>
        <w:jc w:val="both"/>
      </w:pPr>
      <w:r w:rsidRPr="006C563E">
        <w:t>Securing an innovative and enterprising heritage sector:</w:t>
      </w:r>
      <w:r w:rsidR="00AB261E">
        <w:t xml:space="preserve"> </w:t>
      </w:r>
      <w:r w:rsidRPr="006C563E">
        <w:t>Twelve transformative recommendations from the CHARTER project</w:t>
      </w:r>
      <w:r w:rsidR="00AB261E">
        <w:t>.</w:t>
      </w:r>
    </w:p>
    <w:p w14:paraId="7414BF99" w14:textId="77777777" w:rsidR="00AB261E" w:rsidRPr="00AB261E" w:rsidRDefault="00AB261E" w:rsidP="00AB261E"/>
    <w:p w14:paraId="6F212651" w14:textId="175163A1" w:rsidR="00163922" w:rsidRDefault="00FD4B36" w:rsidP="00163922">
      <w:pPr>
        <w:spacing w:line="276" w:lineRule="auto"/>
        <w:jc w:val="both"/>
        <w:rPr>
          <w:sz w:val="22"/>
          <w:szCs w:val="22"/>
        </w:rPr>
      </w:pPr>
      <w:r w:rsidRPr="006C563E">
        <w:rPr>
          <w:sz w:val="22"/>
          <w:szCs w:val="22"/>
        </w:rPr>
        <w:t>The European Cultural Heritage Skills Alliance (</w:t>
      </w:r>
      <w:hyperlink r:id="rId4" w:history="1">
        <w:r w:rsidR="003B7563" w:rsidRPr="00793FD4">
          <w:rPr>
            <w:rStyle w:val="Collegamentoipertestuale"/>
            <w:rFonts w:ascii="Roboto Light" w:hAnsi="Roboto Light"/>
            <w:sz w:val="20"/>
            <w:szCs w:val="20"/>
            <w:lang w:val="en-GB"/>
          </w:rPr>
          <w:t>CHARTER</w:t>
        </w:r>
      </w:hyperlink>
      <w:r w:rsidRPr="006C563E">
        <w:rPr>
          <w:sz w:val="22"/>
          <w:szCs w:val="22"/>
        </w:rPr>
        <w:t>), funded by Erasmus+</w:t>
      </w:r>
      <w:r w:rsidR="003B7563">
        <w:rPr>
          <w:sz w:val="22"/>
          <w:szCs w:val="22"/>
        </w:rPr>
        <w:t xml:space="preserve"> within 2021 and 2024</w:t>
      </w:r>
      <w:r w:rsidRPr="006C563E">
        <w:rPr>
          <w:sz w:val="22"/>
          <w:szCs w:val="22"/>
        </w:rPr>
        <w:t>, has released its 12 recommendations</w:t>
      </w:r>
      <w:r w:rsidR="008129BD" w:rsidRPr="006C563E">
        <w:rPr>
          <w:sz w:val="22"/>
          <w:szCs w:val="22"/>
        </w:rPr>
        <w:t xml:space="preserve">, </w:t>
      </w:r>
      <w:r w:rsidR="008129BD" w:rsidRPr="00163922">
        <w:rPr>
          <w:sz w:val="22"/>
          <w:szCs w:val="22"/>
        </w:rPr>
        <w:t>a</w:t>
      </w:r>
      <w:r w:rsidR="008129BD" w:rsidRPr="00163922">
        <w:rPr>
          <w:sz w:val="22"/>
          <w:szCs w:val="22"/>
        </w:rPr>
        <w:t xml:space="preserve"> roadmap </w:t>
      </w:r>
      <w:r w:rsidR="00163922" w:rsidRPr="00163922">
        <w:rPr>
          <w:sz w:val="22"/>
          <w:szCs w:val="22"/>
        </w:rPr>
        <w:t xml:space="preserve">for actions that </w:t>
      </w:r>
      <w:r w:rsidR="00163922">
        <w:rPr>
          <w:sz w:val="22"/>
          <w:szCs w:val="22"/>
        </w:rPr>
        <w:t>enhance</w:t>
      </w:r>
      <w:r w:rsidR="00163922" w:rsidRPr="00163922">
        <w:rPr>
          <w:sz w:val="22"/>
          <w:szCs w:val="22"/>
        </w:rPr>
        <w:t xml:space="preserve"> and sustain the heritage sector, </w:t>
      </w:r>
      <w:r w:rsidRPr="006C563E">
        <w:rPr>
          <w:sz w:val="22"/>
          <w:szCs w:val="22"/>
        </w:rPr>
        <w:t xml:space="preserve">by addressing skills gaps, </w:t>
      </w:r>
      <w:r w:rsidR="00F1751A">
        <w:rPr>
          <w:sz w:val="22"/>
          <w:szCs w:val="22"/>
        </w:rPr>
        <w:t>boosting</w:t>
      </w:r>
      <w:r w:rsidRPr="006C563E">
        <w:rPr>
          <w:sz w:val="22"/>
          <w:szCs w:val="22"/>
        </w:rPr>
        <w:t xml:space="preserve"> lifelong learning, and fostering professional mobility.</w:t>
      </w:r>
      <w:r w:rsidR="00163922">
        <w:rPr>
          <w:sz w:val="22"/>
          <w:szCs w:val="22"/>
        </w:rPr>
        <w:t xml:space="preserve"> </w:t>
      </w:r>
      <w:r w:rsidR="00163922" w:rsidRPr="00163922">
        <w:rPr>
          <w:sz w:val="22"/>
          <w:szCs w:val="22"/>
        </w:rPr>
        <w:t>Moreover, they aim</w:t>
      </w:r>
      <w:r w:rsidR="00163922">
        <w:rPr>
          <w:sz w:val="22"/>
          <w:szCs w:val="22"/>
        </w:rPr>
        <w:t xml:space="preserve"> </w:t>
      </w:r>
      <w:r w:rsidR="00163922" w:rsidRPr="00163922">
        <w:rPr>
          <w:sz w:val="22"/>
          <w:szCs w:val="22"/>
        </w:rPr>
        <w:t>to ensure equitable career paths and promote comprehensive data</w:t>
      </w:r>
      <w:r w:rsidR="00163922">
        <w:rPr>
          <w:sz w:val="22"/>
          <w:szCs w:val="22"/>
        </w:rPr>
        <w:t xml:space="preserve"> </w:t>
      </w:r>
      <w:r w:rsidR="00163922" w:rsidRPr="00163922">
        <w:rPr>
          <w:sz w:val="22"/>
          <w:szCs w:val="22"/>
        </w:rPr>
        <w:t>analysis and evidence-driven decision-making in sector governance</w:t>
      </w:r>
      <w:r w:rsidR="00163922">
        <w:rPr>
          <w:sz w:val="22"/>
          <w:szCs w:val="22"/>
        </w:rPr>
        <w:t>.</w:t>
      </w:r>
    </w:p>
    <w:p w14:paraId="76D8F139" w14:textId="65B2B151" w:rsidR="00F1751A" w:rsidRDefault="00FD4B36" w:rsidP="006C563E">
      <w:pPr>
        <w:spacing w:line="276" w:lineRule="auto"/>
        <w:jc w:val="both"/>
        <w:rPr>
          <w:sz w:val="22"/>
          <w:szCs w:val="22"/>
        </w:rPr>
      </w:pPr>
      <w:r w:rsidRPr="006C563E">
        <w:rPr>
          <w:sz w:val="22"/>
          <w:szCs w:val="22"/>
        </w:rPr>
        <w:t xml:space="preserve">These recommendations </w:t>
      </w:r>
      <w:r w:rsidR="00163922">
        <w:rPr>
          <w:sz w:val="22"/>
          <w:szCs w:val="22"/>
        </w:rPr>
        <w:t>grunds on 4-years studies and reseaches that demonstrated the lack of visibility and social and economic recognition that suffer the cultural</w:t>
      </w:r>
      <w:r w:rsidR="00F1751A">
        <w:rPr>
          <w:sz w:val="22"/>
          <w:szCs w:val="22"/>
        </w:rPr>
        <w:t xml:space="preserve"> </w:t>
      </w:r>
      <w:r w:rsidR="00163922">
        <w:rPr>
          <w:sz w:val="22"/>
          <w:szCs w:val="22"/>
        </w:rPr>
        <w:t>heritage professionals</w:t>
      </w:r>
      <w:r w:rsidR="00F1751A">
        <w:rPr>
          <w:sz w:val="22"/>
          <w:szCs w:val="22"/>
        </w:rPr>
        <w:t xml:space="preserve"> and the sector as a whole</w:t>
      </w:r>
      <w:r w:rsidR="00163922">
        <w:rPr>
          <w:sz w:val="22"/>
          <w:szCs w:val="22"/>
        </w:rPr>
        <w:t xml:space="preserve">. They </w:t>
      </w:r>
      <w:r w:rsidRPr="006C563E">
        <w:rPr>
          <w:sz w:val="22"/>
          <w:szCs w:val="22"/>
        </w:rPr>
        <w:t>focus on countering the loss of traditional skills, integrating transversal skills like digital and entrepreneurial expertise, and ensuring access to work-based learning opportunities. They also call for improved quality assurance in education, recognition of non-formal learning, and enhanced data collection for evidence-based policies. With tailored actions for stakeholders at all levels, the roadmap positions heritage as a driver of sustainability, inclusion, and innovation.</w:t>
      </w:r>
      <w:r w:rsidR="00F1751A">
        <w:rPr>
          <w:sz w:val="22"/>
          <w:szCs w:val="22"/>
        </w:rPr>
        <w:t xml:space="preserve"> </w:t>
      </w:r>
      <w:r w:rsidR="00F1751A" w:rsidRPr="00163922">
        <w:rPr>
          <w:sz w:val="22"/>
          <w:szCs w:val="22"/>
        </w:rPr>
        <w:t>They will also foster the fundamental potential and agency of heritage,</w:t>
      </w:r>
      <w:r w:rsidR="00F1751A">
        <w:rPr>
          <w:sz w:val="22"/>
          <w:szCs w:val="22"/>
        </w:rPr>
        <w:t xml:space="preserve"> </w:t>
      </w:r>
      <w:r w:rsidR="00F1751A" w:rsidRPr="00163922">
        <w:rPr>
          <w:sz w:val="22"/>
          <w:szCs w:val="22"/>
        </w:rPr>
        <w:t>and make evident its contribution to collective and individual identities.</w:t>
      </w:r>
      <w:r w:rsidR="00F1751A">
        <w:rPr>
          <w:sz w:val="22"/>
          <w:szCs w:val="22"/>
        </w:rPr>
        <w:t xml:space="preserve"> </w:t>
      </w:r>
      <w:r w:rsidR="00F1751A" w:rsidRPr="00163922">
        <w:rPr>
          <w:sz w:val="22"/>
          <w:szCs w:val="22"/>
        </w:rPr>
        <w:t>This approach not only supports the flourishing of the sector but also</w:t>
      </w:r>
      <w:r w:rsidR="00F1751A">
        <w:rPr>
          <w:sz w:val="22"/>
          <w:szCs w:val="22"/>
        </w:rPr>
        <w:t xml:space="preserve"> </w:t>
      </w:r>
      <w:r w:rsidR="00F1751A" w:rsidRPr="00163922">
        <w:rPr>
          <w:sz w:val="22"/>
          <w:szCs w:val="22"/>
        </w:rPr>
        <w:t>aligns with a more integrated and democratic values-based and</w:t>
      </w:r>
      <w:r w:rsidR="00F1751A">
        <w:rPr>
          <w:sz w:val="22"/>
          <w:szCs w:val="22"/>
        </w:rPr>
        <w:t xml:space="preserve"> </w:t>
      </w:r>
      <w:r w:rsidR="00F1751A" w:rsidRPr="00163922">
        <w:rPr>
          <w:sz w:val="22"/>
          <w:szCs w:val="22"/>
        </w:rPr>
        <w:t>sustainable future for Europe.</w:t>
      </w:r>
    </w:p>
    <w:p w14:paraId="36BA48D6" w14:textId="77777777" w:rsidR="000764F7" w:rsidRPr="00793FD4" w:rsidRDefault="000764F7" w:rsidP="000764F7">
      <w:pPr>
        <w:jc w:val="both"/>
        <w:rPr>
          <w:rFonts w:ascii="Roboto Light" w:hAnsi="Roboto Light"/>
          <w:sz w:val="20"/>
          <w:szCs w:val="20"/>
          <w:lang w:val="en-GB"/>
        </w:rPr>
      </w:pPr>
    </w:p>
    <w:p w14:paraId="238904F9"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1. Establish skills strategies for the heritage sector for a systemic change</w:t>
      </w:r>
    </w:p>
    <w:p w14:paraId="5A908605"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Encourage coordinated skills strategies at the EU, national, and regional levels to align education and labour market demands, ensuring heritage’s role in achieving societal and environmental goals.</w:t>
      </w:r>
    </w:p>
    <w:p w14:paraId="7572452E" w14:textId="77777777" w:rsidR="000764F7" w:rsidRPr="00793FD4" w:rsidRDefault="000764F7" w:rsidP="000764F7">
      <w:pPr>
        <w:jc w:val="both"/>
        <w:rPr>
          <w:rFonts w:ascii="Roboto Light" w:hAnsi="Roboto Light"/>
          <w:sz w:val="20"/>
          <w:szCs w:val="20"/>
          <w:lang w:val="en-GB"/>
        </w:rPr>
      </w:pPr>
    </w:p>
    <w:p w14:paraId="3BD4EDF9"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2. Counteract the loss of heritage skills</w:t>
      </w:r>
    </w:p>
    <w:p w14:paraId="72BA3176"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Combat the loss of traditional heritage skills caused by disrupted generational transfers, shrinking markets, and precarious employment. Emphasise their relevance for addressing modern challenges like sustainability and climate resilience.</w:t>
      </w:r>
    </w:p>
    <w:p w14:paraId="6C086B0F" w14:textId="77777777" w:rsidR="000764F7" w:rsidRPr="00793FD4" w:rsidRDefault="000764F7" w:rsidP="000764F7">
      <w:pPr>
        <w:jc w:val="both"/>
        <w:rPr>
          <w:rFonts w:ascii="Roboto Light" w:hAnsi="Roboto Light"/>
          <w:sz w:val="20"/>
          <w:szCs w:val="20"/>
          <w:lang w:val="en-GB"/>
        </w:rPr>
      </w:pPr>
    </w:p>
    <w:p w14:paraId="1A000D92"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3. Complement core heritage skills with transversal skills to foster inter- and trans-disciplinarity</w:t>
      </w:r>
    </w:p>
    <w:p w14:paraId="0F155BE8"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Equip heritage professionals with communication, digital, entrepreneurial, and ethical skills alongside core competencies in preservation and governance to navigate evolving challenges and interdisciplinary roles.</w:t>
      </w:r>
    </w:p>
    <w:p w14:paraId="417379CB" w14:textId="77777777" w:rsidR="000764F7" w:rsidRPr="00793FD4" w:rsidRDefault="000764F7" w:rsidP="000764F7">
      <w:pPr>
        <w:jc w:val="both"/>
        <w:rPr>
          <w:rFonts w:ascii="Roboto Light" w:hAnsi="Roboto Light"/>
          <w:sz w:val="20"/>
          <w:szCs w:val="20"/>
          <w:lang w:val="en-GB"/>
        </w:rPr>
      </w:pPr>
    </w:p>
    <w:p w14:paraId="06144887"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4. Offer future-focused education and training</w:t>
      </w:r>
    </w:p>
    <w:p w14:paraId="532F061C"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CHARTER identifies eight pathways for adapting or developing curricula: community engagement, sustainability in built heritage, heritage crafts, new heritage conservation, digital heritage, participatory leadership, heritage policy design, and international relations. These pathways address current and future sector demands.</w:t>
      </w:r>
    </w:p>
    <w:p w14:paraId="4E0A3A4F" w14:textId="77777777" w:rsidR="000764F7" w:rsidRPr="00793FD4" w:rsidRDefault="000764F7" w:rsidP="000764F7">
      <w:pPr>
        <w:jc w:val="both"/>
        <w:rPr>
          <w:rFonts w:ascii="Roboto Light" w:hAnsi="Roboto Light"/>
          <w:sz w:val="20"/>
          <w:szCs w:val="20"/>
          <w:lang w:val="en-GB"/>
        </w:rPr>
      </w:pPr>
    </w:p>
    <w:p w14:paraId="796BD63E"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5. Promote a Lifelong Learning area for the heritage sector</w:t>
      </w:r>
    </w:p>
    <w:p w14:paraId="3906F7CB"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Encourage continuing education (CET) to upskill and reskill professionals in areas like digital content creation, conservation, and management, ensuring flexibility to adapt to emerging needs such as AI and digital outreach.</w:t>
      </w:r>
    </w:p>
    <w:p w14:paraId="5B5CF68B" w14:textId="77777777" w:rsidR="000764F7" w:rsidRPr="00793FD4" w:rsidRDefault="000764F7" w:rsidP="000764F7">
      <w:pPr>
        <w:jc w:val="both"/>
        <w:rPr>
          <w:rFonts w:ascii="Roboto Light" w:hAnsi="Roboto Light"/>
          <w:sz w:val="20"/>
          <w:szCs w:val="20"/>
          <w:lang w:val="en-GB"/>
        </w:rPr>
      </w:pPr>
    </w:p>
    <w:p w14:paraId="186B1D7F"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6. Foster the recognition of non-formal and informal prior learning</w:t>
      </w:r>
    </w:p>
    <w:p w14:paraId="6057534C"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Expand recognition of skills gained through non-formal and informal methods, such as on-the-job training and traditional crafts, using tools like micro-credentials and validation processes to improve mobility and career access.</w:t>
      </w:r>
    </w:p>
    <w:p w14:paraId="1123735D" w14:textId="77777777" w:rsidR="000764F7" w:rsidRPr="00793FD4" w:rsidRDefault="000764F7" w:rsidP="000764F7">
      <w:pPr>
        <w:jc w:val="both"/>
        <w:rPr>
          <w:rFonts w:ascii="Roboto Light" w:hAnsi="Roboto Light"/>
          <w:sz w:val="20"/>
          <w:szCs w:val="20"/>
          <w:lang w:val="en-GB"/>
        </w:rPr>
      </w:pPr>
    </w:p>
    <w:p w14:paraId="180D67B7"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7. Ensure work-based learning for professional development and early-career progression</w:t>
      </w:r>
    </w:p>
    <w:p w14:paraId="5550A268"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Enhance access to internships and traineeships by improving coordination, offering fair remuneration, and ensuring better integration into education programs to bridge gaps between training and the workplace.</w:t>
      </w:r>
    </w:p>
    <w:p w14:paraId="11736233" w14:textId="77777777" w:rsidR="000764F7" w:rsidRPr="00793FD4" w:rsidRDefault="000764F7" w:rsidP="000764F7">
      <w:pPr>
        <w:jc w:val="both"/>
        <w:rPr>
          <w:rFonts w:ascii="Roboto Light" w:hAnsi="Roboto Light"/>
          <w:sz w:val="20"/>
          <w:szCs w:val="20"/>
          <w:lang w:val="en-GB"/>
        </w:rPr>
      </w:pPr>
    </w:p>
    <w:p w14:paraId="128B0005"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8. Strengthen quality assurance in heritage education and training</w:t>
      </w:r>
    </w:p>
    <w:p w14:paraId="798C69D9"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Standardise quality assurance in vocational (VET) and continuing education (CET) to ensure consistent standards across the EU, particularly for work-based learning, which is vital for heritage professionals.</w:t>
      </w:r>
    </w:p>
    <w:p w14:paraId="1AC5A637" w14:textId="77777777" w:rsidR="000764F7" w:rsidRPr="00793FD4" w:rsidRDefault="000764F7" w:rsidP="000764F7">
      <w:pPr>
        <w:jc w:val="both"/>
        <w:rPr>
          <w:rFonts w:ascii="Roboto Light" w:hAnsi="Roboto Light"/>
          <w:sz w:val="20"/>
          <w:szCs w:val="20"/>
          <w:lang w:val="en-GB"/>
        </w:rPr>
      </w:pPr>
    </w:p>
    <w:p w14:paraId="2B86538A"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9. Strive towards a viable, diverse heritage workforce</w:t>
      </w:r>
    </w:p>
    <w:p w14:paraId="5B3F9A84"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Address workforce precarity by improving job stability, promoting gender equality, and increasing representation of disadvantaged groups to foster diversity and resilience in the heritage sector.</w:t>
      </w:r>
    </w:p>
    <w:p w14:paraId="32179B70" w14:textId="77777777" w:rsidR="000764F7" w:rsidRPr="00793FD4" w:rsidRDefault="000764F7" w:rsidP="000764F7">
      <w:pPr>
        <w:jc w:val="both"/>
        <w:rPr>
          <w:rFonts w:ascii="Roboto Light" w:hAnsi="Roboto Light"/>
          <w:sz w:val="20"/>
          <w:szCs w:val="20"/>
          <w:lang w:val="en-GB"/>
        </w:rPr>
      </w:pPr>
    </w:p>
    <w:p w14:paraId="4EB2D73A"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 xml:space="preserve">10. Foster professional recognition and facilitate mobility </w:t>
      </w:r>
    </w:p>
    <w:p w14:paraId="3DF7A71C"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Harmonise standards and improve recognition of qualifications to support the mobility of heritage professionals across the EU, addressing gaps in tools like ESCO and improving alignment with national frameworks.</w:t>
      </w:r>
    </w:p>
    <w:p w14:paraId="60D2AB3F" w14:textId="77777777" w:rsidR="000764F7" w:rsidRPr="00793FD4" w:rsidRDefault="000764F7" w:rsidP="000764F7">
      <w:pPr>
        <w:jc w:val="both"/>
        <w:rPr>
          <w:rFonts w:ascii="Roboto Light" w:hAnsi="Roboto Light"/>
          <w:sz w:val="20"/>
          <w:szCs w:val="20"/>
          <w:lang w:val="en-GB"/>
        </w:rPr>
      </w:pPr>
    </w:p>
    <w:p w14:paraId="0D007412"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 xml:space="preserve">11. Develop and use robust socio-economic indicators for evidence-based policies </w:t>
      </w:r>
    </w:p>
    <w:p w14:paraId="65718465"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Improve data collection and monitoring using updated methodologies and taxonomies to ensure reliable statistics that reflect the sector’s dimensions and inform effective policymaking.</w:t>
      </w:r>
    </w:p>
    <w:p w14:paraId="4EF0F6D3" w14:textId="77777777" w:rsidR="000764F7" w:rsidRPr="00793FD4" w:rsidRDefault="000764F7" w:rsidP="000764F7">
      <w:pPr>
        <w:jc w:val="both"/>
        <w:rPr>
          <w:rFonts w:ascii="Roboto Light" w:hAnsi="Roboto Light"/>
          <w:sz w:val="20"/>
          <w:szCs w:val="20"/>
          <w:lang w:val="en-GB"/>
        </w:rPr>
      </w:pPr>
    </w:p>
    <w:p w14:paraId="0D39D838" w14:textId="77777777" w:rsidR="000764F7" w:rsidRPr="00793FD4" w:rsidRDefault="000764F7" w:rsidP="000764F7">
      <w:pPr>
        <w:jc w:val="both"/>
        <w:rPr>
          <w:rFonts w:ascii="Roboto Light" w:hAnsi="Roboto Light"/>
          <w:b/>
          <w:bCs/>
          <w:sz w:val="20"/>
          <w:szCs w:val="20"/>
          <w:lang w:val="en-GB"/>
        </w:rPr>
      </w:pPr>
      <w:r w:rsidRPr="00793FD4">
        <w:rPr>
          <w:rFonts w:ascii="Roboto Light" w:hAnsi="Roboto Light"/>
          <w:b/>
          <w:bCs/>
          <w:sz w:val="20"/>
          <w:szCs w:val="20"/>
          <w:lang w:val="en-GB"/>
        </w:rPr>
        <w:t>12. Develop intersectoral cross-pollination of heritage knowledge</w:t>
      </w:r>
    </w:p>
    <w:p w14:paraId="7F288E78" w14:textId="77777777" w:rsidR="000764F7" w:rsidRPr="00793FD4" w:rsidRDefault="000764F7" w:rsidP="000764F7">
      <w:pPr>
        <w:jc w:val="both"/>
        <w:rPr>
          <w:rFonts w:ascii="Roboto Light" w:hAnsi="Roboto Light"/>
          <w:sz w:val="20"/>
          <w:szCs w:val="20"/>
          <w:lang w:val="en-GB"/>
        </w:rPr>
      </w:pPr>
      <w:r w:rsidRPr="00793FD4">
        <w:rPr>
          <w:rFonts w:ascii="Roboto Light" w:hAnsi="Roboto Light"/>
          <w:sz w:val="20"/>
          <w:szCs w:val="20"/>
          <w:lang w:val="en-GB"/>
        </w:rPr>
        <w:t>Recognise and enhance heritage’s intersection with other sectors like tourism, sustainability, and urban planning, while improving procurement standards to include heritage-related activities and attract skilled professionals.</w:t>
      </w:r>
    </w:p>
    <w:p w14:paraId="51EE7F4A" w14:textId="77777777" w:rsidR="000764F7" w:rsidRPr="00793FD4" w:rsidRDefault="000764F7" w:rsidP="000764F7">
      <w:pPr>
        <w:rPr>
          <w:lang w:val="en-GB"/>
        </w:rPr>
      </w:pPr>
    </w:p>
    <w:p w14:paraId="14AE4000" w14:textId="1C0A16A5" w:rsidR="005E437E" w:rsidRDefault="000764F7" w:rsidP="000764F7">
      <w:pPr>
        <w:jc w:val="both"/>
        <w:rPr>
          <w:rFonts w:ascii="Roboto Light" w:hAnsi="Roboto Light"/>
          <w:sz w:val="20"/>
          <w:szCs w:val="20"/>
          <w:lang w:val="en-GB"/>
        </w:rPr>
      </w:pPr>
      <w:r w:rsidRPr="00793FD4">
        <w:rPr>
          <w:rFonts w:ascii="Roboto Light" w:hAnsi="Roboto Light"/>
          <w:sz w:val="20"/>
          <w:szCs w:val="20"/>
          <w:lang w:val="en-GB"/>
        </w:rPr>
        <w:t>To explore these recommendations in greater depth, along with detailed insights into the sector's challenges, proposed solutions, and the broader impact of the CHARTER initiative, we invite you to read the full recommendations document. Each recommendation is supported by specific implementation actions, clearly categorised by the relevant stakeholders. Additionally, the document provides detailed sections tailored for recommendations involving the European Union, Member States and Regional Authorities, Education and Training providers, and Heritage institutions and employers, ensuring a comprehensive and actionable roadmap for the sector.</w:t>
      </w:r>
    </w:p>
    <w:p w14:paraId="6C6DBA84" w14:textId="77777777" w:rsidR="005E437E" w:rsidRDefault="005E437E" w:rsidP="005E437E">
      <w:pPr>
        <w:spacing w:line="276" w:lineRule="auto"/>
        <w:jc w:val="both"/>
        <w:rPr>
          <w:sz w:val="22"/>
          <w:szCs w:val="22"/>
        </w:rPr>
      </w:pPr>
    </w:p>
    <w:p w14:paraId="4899495F" w14:textId="77777777" w:rsidR="005E437E" w:rsidRPr="00793FD4" w:rsidRDefault="005E437E" w:rsidP="005E437E">
      <w:pPr>
        <w:jc w:val="both"/>
        <w:rPr>
          <w:rFonts w:ascii="Roboto Light" w:hAnsi="Roboto Light"/>
          <w:b/>
          <w:bCs/>
          <w:sz w:val="22"/>
          <w:szCs w:val="22"/>
          <w:lang w:val="en-GB"/>
        </w:rPr>
      </w:pPr>
      <w:r w:rsidRPr="00793FD4">
        <w:rPr>
          <w:rFonts w:ascii="Roboto Light" w:hAnsi="Roboto Light"/>
          <w:b/>
          <w:bCs/>
          <w:sz w:val="22"/>
          <w:szCs w:val="22"/>
          <w:lang w:val="en-GB"/>
        </w:rPr>
        <w:t xml:space="preserve">Dive into the </w:t>
      </w:r>
      <w:hyperlink r:id="rId5" w:history="1">
        <w:r w:rsidRPr="00793FD4">
          <w:rPr>
            <w:rStyle w:val="Collegamentoipertestuale"/>
            <w:rFonts w:ascii="Roboto Light" w:hAnsi="Roboto Light"/>
            <w:b/>
            <w:bCs/>
            <w:sz w:val="22"/>
            <w:szCs w:val="22"/>
            <w:lang w:val="en-GB"/>
          </w:rPr>
          <w:t>full ve</w:t>
        </w:r>
        <w:r w:rsidRPr="00793FD4">
          <w:rPr>
            <w:rStyle w:val="Collegamentoipertestuale"/>
            <w:rFonts w:ascii="Roboto Light" w:hAnsi="Roboto Light"/>
            <w:b/>
            <w:bCs/>
            <w:sz w:val="22"/>
            <w:szCs w:val="22"/>
            <w:lang w:val="en-GB"/>
          </w:rPr>
          <w:t>r</w:t>
        </w:r>
        <w:r w:rsidRPr="00793FD4">
          <w:rPr>
            <w:rStyle w:val="Collegamentoipertestuale"/>
            <w:rFonts w:ascii="Roboto Light" w:hAnsi="Roboto Light"/>
            <w:b/>
            <w:bCs/>
            <w:sz w:val="22"/>
            <w:szCs w:val="22"/>
            <w:lang w:val="en-GB"/>
          </w:rPr>
          <w:t>sion</w:t>
        </w:r>
      </w:hyperlink>
      <w:r w:rsidRPr="00793FD4">
        <w:rPr>
          <w:rFonts w:ascii="Roboto Light" w:hAnsi="Roboto Light"/>
          <w:b/>
          <w:bCs/>
          <w:sz w:val="22"/>
          <w:szCs w:val="22"/>
          <w:lang w:val="en-GB"/>
        </w:rPr>
        <w:t xml:space="preserve"> to understand how CHARTER is shaping a forward-thinking and sustainable future for the heritage ecosystem.</w:t>
      </w:r>
    </w:p>
    <w:p w14:paraId="3BA09F3F" w14:textId="77777777" w:rsidR="005E437E" w:rsidRPr="00793FD4" w:rsidRDefault="005E437E" w:rsidP="005E437E">
      <w:pPr>
        <w:jc w:val="both"/>
        <w:rPr>
          <w:rFonts w:ascii="Roboto Light" w:hAnsi="Roboto Light"/>
          <w:sz w:val="20"/>
          <w:szCs w:val="20"/>
          <w:lang w:val="en-GB"/>
        </w:rPr>
      </w:pPr>
    </w:p>
    <w:p w14:paraId="779A103C" w14:textId="77777777" w:rsidR="005E437E" w:rsidRPr="00793FD4" w:rsidRDefault="005E437E" w:rsidP="000764F7">
      <w:pPr>
        <w:jc w:val="both"/>
        <w:rPr>
          <w:rFonts w:ascii="Roboto Light" w:hAnsi="Roboto Light"/>
          <w:sz w:val="20"/>
          <w:szCs w:val="20"/>
          <w:lang w:val="en-GB"/>
        </w:rPr>
      </w:pPr>
      <w:bookmarkStart w:id="0" w:name="_GoBack"/>
      <w:bookmarkEnd w:id="0"/>
    </w:p>
    <w:p w14:paraId="290C770E" w14:textId="77777777" w:rsidR="000764F7" w:rsidRPr="00793FD4" w:rsidRDefault="000764F7" w:rsidP="000764F7">
      <w:pPr>
        <w:jc w:val="both"/>
        <w:rPr>
          <w:rFonts w:ascii="Roboto Light" w:hAnsi="Roboto Light"/>
          <w:sz w:val="20"/>
          <w:szCs w:val="20"/>
          <w:lang w:val="en-GB"/>
        </w:rPr>
      </w:pPr>
    </w:p>
    <w:p w14:paraId="5BB01134" w14:textId="77777777" w:rsidR="005E437E" w:rsidRPr="00793FD4" w:rsidRDefault="005E437E" w:rsidP="005E437E">
      <w:pPr>
        <w:jc w:val="both"/>
        <w:rPr>
          <w:rFonts w:ascii="Roboto Light" w:hAnsi="Roboto Light"/>
          <w:sz w:val="20"/>
          <w:szCs w:val="20"/>
          <w:lang w:val="en-GB"/>
        </w:rPr>
      </w:pPr>
      <w:hyperlink r:id="rId6" w:history="1">
        <w:r w:rsidRPr="00793FD4">
          <w:rPr>
            <w:rStyle w:val="Collegamentoipertestuale"/>
            <w:rFonts w:ascii="Roboto Light" w:hAnsi="Roboto Light"/>
            <w:sz w:val="20"/>
            <w:szCs w:val="20"/>
            <w:lang w:val="en-GB"/>
          </w:rPr>
          <w:t>CHARTER</w:t>
        </w:r>
      </w:hyperlink>
      <w:r w:rsidRPr="00793FD4">
        <w:rPr>
          <w:rFonts w:ascii="Roboto Light" w:hAnsi="Roboto Light"/>
          <w:sz w:val="20"/>
          <w:szCs w:val="20"/>
          <w:lang w:val="en-GB"/>
        </w:rPr>
        <w:t>'s Skills Strategy lays out 12 concrete recommendations to strengthen the heritage sector by addressing key gaps in education, training, and labour market needs. These targeted actions aim to ensure sustainability, inclusivity, and innovation while positioning cultural heritage as a driver of social, economic, and environmental progress.</w:t>
      </w:r>
    </w:p>
    <w:p w14:paraId="5B129E1A" w14:textId="77777777" w:rsidR="000764F7" w:rsidRPr="00793FD4" w:rsidRDefault="000764F7" w:rsidP="000764F7">
      <w:pPr>
        <w:spacing w:before="120" w:after="120"/>
        <w:jc w:val="both"/>
        <w:rPr>
          <w:rFonts w:ascii="Roboto" w:hAnsi="Roboto" w:cs="Arial"/>
          <w:lang w:val="en-GB"/>
        </w:rPr>
      </w:pPr>
    </w:p>
    <w:p w14:paraId="744830F8" w14:textId="77777777" w:rsidR="000764F7" w:rsidRPr="00793FD4" w:rsidRDefault="000764F7" w:rsidP="000764F7">
      <w:pPr>
        <w:spacing w:before="120" w:after="120"/>
        <w:jc w:val="both"/>
        <w:rPr>
          <w:rFonts w:ascii="Roboto" w:hAnsi="Roboto" w:cs="Arial"/>
          <w:b/>
          <w:bCs/>
          <w:sz w:val="21"/>
          <w:szCs w:val="21"/>
          <w:lang w:val="en-GB"/>
        </w:rPr>
      </w:pPr>
      <w:r w:rsidRPr="00793FD4">
        <w:rPr>
          <w:rFonts w:ascii="Roboto" w:hAnsi="Roboto" w:cs="Arial"/>
          <w:b/>
          <w:bCs/>
          <w:sz w:val="21"/>
          <w:szCs w:val="21"/>
          <w:lang w:val="en-GB"/>
        </w:rPr>
        <w:t xml:space="preserve">About CHARTER </w:t>
      </w:r>
    </w:p>
    <w:p w14:paraId="108B9F05" w14:textId="77777777" w:rsidR="000764F7" w:rsidRPr="00793FD4" w:rsidRDefault="000764F7" w:rsidP="000764F7">
      <w:pPr>
        <w:spacing w:before="120" w:after="120"/>
        <w:jc w:val="both"/>
        <w:rPr>
          <w:rFonts w:ascii="Roboto" w:hAnsi="Roboto" w:cs="Arial"/>
          <w:sz w:val="20"/>
          <w:szCs w:val="20"/>
          <w:lang w:val="en-GB"/>
        </w:rPr>
      </w:pPr>
      <w:r w:rsidRPr="00793FD4">
        <w:rPr>
          <w:rFonts w:ascii="Roboto" w:hAnsi="Roboto" w:cs="Arial"/>
          <w:sz w:val="20"/>
          <w:szCs w:val="20"/>
          <w:lang w:val="en-GB"/>
        </w:rPr>
        <w:t>CHARTER, the European Cultural Heritage Skills Alliance, brings together and represents the whole range of the cultural heritage sector in Europe. The 47 project partners strive towards making apparent the value of cultural heritage and creating a resilient and responsive sector.</w:t>
      </w:r>
    </w:p>
    <w:p w14:paraId="57603F48" w14:textId="77777777" w:rsidR="000764F7" w:rsidRPr="00793FD4" w:rsidRDefault="000764F7" w:rsidP="000764F7">
      <w:pPr>
        <w:spacing w:before="120" w:after="120"/>
        <w:jc w:val="both"/>
        <w:rPr>
          <w:rFonts w:ascii="Roboto" w:hAnsi="Roboto" w:cs="Arial"/>
          <w:sz w:val="20"/>
          <w:szCs w:val="20"/>
          <w:lang w:val="en-GB"/>
        </w:rPr>
      </w:pPr>
      <w:r w:rsidRPr="00793FD4">
        <w:rPr>
          <w:rFonts w:ascii="Roboto" w:hAnsi="Roboto" w:cs="Arial"/>
          <w:sz w:val="20"/>
          <w:szCs w:val="20"/>
          <w:lang w:val="en-GB"/>
        </w:rPr>
        <w:t>CHARTER works towards creating a lasting, comprehensive strategy that will guarantee Europe has the necessary cultural heritage skills to support sustainable societies and economies.</w:t>
      </w:r>
    </w:p>
    <w:p w14:paraId="620DE31C" w14:textId="22689D67" w:rsidR="000764F7" w:rsidRDefault="000764F7" w:rsidP="000764F7">
      <w:pPr>
        <w:pStyle w:val="NormaleWeb"/>
      </w:pPr>
      <w:r w:rsidRPr="00793FD4">
        <w:rPr>
          <w:rFonts w:ascii="Roboto" w:hAnsi="Roboto" w:cs="Arial"/>
          <w:sz w:val="20"/>
          <w:szCs w:val="20"/>
          <w:lang w:val="en-GB"/>
        </w:rPr>
        <w:t>The Erasmus+ funded project maps the current and future needs of the sector to bridge the gap of skills shortages and mismatches between the educational and occupational fields.</w:t>
      </w:r>
    </w:p>
    <w:p w14:paraId="29F17C40" w14:textId="30385F6B" w:rsidR="000764F7" w:rsidRDefault="000764F7" w:rsidP="000764F7">
      <w:pPr>
        <w:pStyle w:val="NormaleWeb"/>
      </w:pPr>
    </w:p>
    <w:p w14:paraId="7DB1603D" w14:textId="18C5F23C" w:rsidR="000764F7" w:rsidRDefault="000764F7" w:rsidP="000764F7">
      <w:pPr>
        <w:pStyle w:val="NormaleWeb"/>
      </w:pPr>
    </w:p>
    <w:p w14:paraId="7CEA94D3" w14:textId="77777777" w:rsidR="000764F7" w:rsidRDefault="000764F7" w:rsidP="000764F7">
      <w:pPr>
        <w:pStyle w:val="NormaleWeb"/>
      </w:pPr>
    </w:p>
    <w:p w14:paraId="0543A673" w14:textId="77777777" w:rsidR="000764F7" w:rsidRDefault="000764F7" w:rsidP="00146D36">
      <w:pPr>
        <w:rPr>
          <w:rFonts w:ascii="Arial" w:eastAsia="Times New Roman" w:hAnsi="Arial" w:cs="Arial"/>
        </w:rPr>
      </w:pPr>
    </w:p>
    <w:p w14:paraId="56EA57F4" w14:textId="77777777" w:rsidR="000764F7" w:rsidRDefault="000764F7" w:rsidP="00146D36">
      <w:pPr>
        <w:rPr>
          <w:rFonts w:ascii="Arial" w:eastAsia="Times New Roman" w:hAnsi="Arial" w:cs="Arial"/>
        </w:rPr>
      </w:pPr>
    </w:p>
    <w:p w14:paraId="7BCB888F" w14:textId="77777777" w:rsidR="000764F7" w:rsidRDefault="000764F7" w:rsidP="00146D36">
      <w:pPr>
        <w:rPr>
          <w:rFonts w:ascii="Arial" w:eastAsia="Times New Roman" w:hAnsi="Arial" w:cs="Arial"/>
        </w:rPr>
      </w:pPr>
    </w:p>
    <w:p w14:paraId="27DC5174" w14:textId="773D0A92" w:rsidR="00146D36" w:rsidRDefault="00146D36" w:rsidP="00146D36">
      <w:pPr>
        <w:rPr>
          <w:rFonts w:ascii="Arial" w:eastAsia="Times New Roman" w:hAnsi="Arial" w:cs="Arial"/>
        </w:rPr>
      </w:pPr>
      <w:r w:rsidRPr="00146D36">
        <w:rPr>
          <w:rFonts w:ascii="Arial" w:eastAsia="Times New Roman" w:hAnsi="Arial" w:cs="Arial"/>
        </w:rPr>
        <w:lastRenderedPageBreak/>
        <w:t>CHARTER – European Cultural Heritage Skills</w:t>
      </w:r>
      <w:r>
        <w:rPr>
          <w:rFonts w:ascii="Times New Roman" w:eastAsia="Times New Roman" w:hAnsi="Times New Roman" w:cs="Times New Roman"/>
        </w:rPr>
        <w:t xml:space="preserve"> </w:t>
      </w:r>
      <w:r w:rsidRPr="00146D36">
        <w:rPr>
          <w:rFonts w:ascii="Arial" w:eastAsia="Times New Roman" w:hAnsi="Arial" w:cs="Arial"/>
        </w:rPr>
        <w:t xml:space="preserve">Alliance </w:t>
      </w:r>
      <w:r>
        <w:rPr>
          <w:rFonts w:ascii="Arial" w:eastAsia="Times New Roman" w:hAnsi="Arial" w:cs="Arial"/>
        </w:rPr>
        <w:t xml:space="preserve">(2021-2024) </w:t>
      </w:r>
      <w:r w:rsidRPr="00146D36">
        <w:rPr>
          <w:rFonts w:ascii="Arial" w:eastAsia="Times New Roman" w:hAnsi="Arial" w:cs="Arial"/>
        </w:rPr>
        <w:t xml:space="preserve">set up the Blueprint for sectoral cooperationon skills for cultural heritage </w:t>
      </w:r>
      <w:r>
        <w:rPr>
          <w:rFonts w:ascii="Arial" w:eastAsia="Times New Roman" w:hAnsi="Arial" w:cs="Arial"/>
        </w:rPr>
        <w:t xml:space="preserve">thanks to an </w:t>
      </w:r>
      <w:r w:rsidRPr="00146D36">
        <w:rPr>
          <w:rFonts w:ascii="Arial" w:eastAsia="Times New Roman" w:hAnsi="Arial" w:cs="Arial"/>
        </w:rPr>
        <w:t>Erasmus+ funding</w:t>
      </w:r>
      <w:r>
        <w:rPr>
          <w:rFonts w:ascii="Arial" w:eastAsia="Times New Roman" w:hAnsi="Arial" w:cs="Arial"/>
        </w:rPr>
        <w:t>.</w:t>
      </w:r>
    </w:p>
    <w:p w14:paraId="4A2D86D0" w14:textId="77777777" w:rsidR="00146D36" w:rsidRDefault="00146D36" w:rsidP="00146D36">
      <w:pPr>
        <w:rPr>
          <w:rFonts w:ascii="Times New Roman" w:eastAsia="Times New Roman" w:hAnsi="Times New Roman" w:cs="Times New Roman"/>
        </w:rPr>
      </w:pPr>
      <w:r w:rsidRPr="00146D36">
        <w:rPr>
          <w:rFonts w:ascii="Arial" w:eastAsia="Times New Roman" w:hAnsi="Arial" w:cs="Arial"/>
        </w:rPr>
        <w:t>The project’s mission was to sustainably protect,</w:t>
      </w:r>
      <w:r>
        <w:rPr>
          <w:rFonts w:ascii="Times New Roman" w:eastAsia="Times New Roman" w:hAnsi="Times New Roman" w:cs="Times New Roman"/>
        </w:rPr>
        <w:t xml:space="preserve"> </w:t>
      </w:r>
      <w:r w:rsidRPr="00146D36">
        <w:rPr>
          <w:rFonts w:ascii="Arial" w:eastAsia="Times New Roman" w:hAnsi="Arial" w:cs="Arial"/>
        </w:rPr>
        <w:t>promote, and enhance European cultural heritage</w:t>
      </w:r>
      <w:r>
        <w:rPr>
          <w:rFonts w:ascii="Times New Roman" w:eastAsia="Times New Roman" w:hAnsi="Times New Roman" w:cs="Times New Roman"/>
        </w:rPr>
        <w:t xml:space="preserve"> </w:t>
      </w:r>
      <w:r w:rsidRPr="00146D36">
        <w:rPr>
          <w:rFonts w:ascii="Arial" w:eastAsia="Times New Roman" w:hAnsi="Arial" w:cs="Arial"/>
        </w:rPr>
        <w:t>by creating a lasting and comprehensive sectoral</w:t>
      </w:r>
      <w:r>
        <w:rPr>
          <w:rFonts w:ascii="Times New Roman" w:eastAsia="Times New Roman" w:hAnsi="Times New Roman" w:cs="Times New Roman"/>
        </w:rPr>
        <w:t xml:space="preserve"> </w:t>
      </w:r>
      <w:r w:rsidRPr="00146D36">
        <w:rPr>
          <w:rFonts w:ascii="Arial" w:eastAsia="Times New Roman" w:hAnsi="Arial" w:cs="Arial"/>
        </w:rPr>
        <w:t>skills strategy, bridging gaps between education</w:t>
      </w:r>
      <w:r>
        <w:rPr>
          <w:rFonts w:ascii="Times New Roman" w:eastAsia="Times New Roman" w:hAnsi="Times New Roman" w:cs="Times New Roman"/>
        </w:rPr>
        <w:t xml:space="preserve"> </w:t>
      </w:r>
      <w:r w:rsidRPr="00146D36">
        <w:rPr>
          <w:rFonts w:ascii="Arial" w:eastAsia="Times New Roman" w:hAnsi="Arial" w:cs="Arial"/>
        </w:rPr>
        <w:t>and vocational systems and employers’ needs, and</w:t>
      </w:r>
      <w:r>
        <w:rPr>
          <w:rFonts w:ascii="Times New Roman" w:eastAsia="Times New Roman" w:hAnsi="Times New Roman" w:cs="Times New Roman"/>
        </w:rPr>
        <w:t xml:space="preserve"> </w:t>
      </w:r>
      <w:r w:rsidRPr="00146D36">
        <w:rPr>
          <w:rFonts w:ascii="Arial" w:eastAsia="Times New Roman" w:hAnsi="Arial" w:cs="Arial"/>
        </w:rPr>
        <w:t>proposing training and curricula for the development</w:t>
      </w:r>
      <w:r>
        <w:rPr>
          <w:rFonts w:ascii="Times New Roman" w:eastAsia="Times New Roman" w:hAnsi="Times New Roman" w:cs="Times New Roman"/>
        </w:rPr>
        <w:t xml:space="preserve"> </w:t>
      </w:r>
      <w:r w:rsidRPr="00146D36">
        <w:rPr>
          <w:rFonts w:ascii="Arial" w:eastAsia="Times New Roman" w:hAnsi="Arial" w:cs="Arial"/>
        </w:rPr>
        <w:t>of new skills for heritage professionals.</w:t>
      </w:r>
      <w:r w:rsidRPr="00146D36">
        <w:rPr>
          <w:rFonts w:ascii="Times New Roman" w:eastAsia="Times New Roman" w:hAnsi="Times New Roman" w:cs="Times New Roman"/>
        </w:rPr>
        <w:br/>
      </w:r>
      <w:r w:rsidRPr="00146D36">
        <w:rPr>
          <w:rFonts w:ascii="Arial" w:eastAsia="Times New Roman" w:hAnsi="Arial" w:cs="Arial"/>
        </w:rPr>
        <w:t>As with other Blueprints, CHARTER built on previous</w:t>
      </w:r>
      <w:r>
        <w:rPr>
          <w:rFonts w:ascii="Times New Roman" w:eastAsia="Times New Roman" w:hAnsi="Times New Roman" w:cs="Times New Roman"/>
        </w:rPr>
        <w:t xml:space="preserve"> </w:t>
      </w:r>
      <w:r w:rsidRPr="00146D36">
        <w:rPr>
          <w:rFonts w:ascii="Arial" w:eastAsia="Times New Roman" w:hAnsi="Arial" w:cs="Arial"/>
        </w:rPr>
        <w:t>work by the European Commission to address</w:t>
      </w:r>
      <w:r>
        <w:rPr>
          <w:rFonts w:ascii="Times New Roman" w:eastAsia="Times New Roman" w:hAnsi="Times New Roman" w:cs="Times New Roman"/>
        </w:rPr>
        <w:t xml:space="preserve"> </w:t>
      </w:r>
      <w:r w:rsidRPr="00146D36">
        <w:rPr>
          <w:rFonts w:ascii="Arial" w:eastAsia="Times New Roman" w:hAnsi="Arial" w:cs="Arial"/>
        </w:rPr>
        <w:t>sector skills mismatches. EU frameworks such as</w:t>
      </w:r>
      <w:r>
        <w:rPr>
          <w:rFonts w:ascii="Times New Roman" w:eastAsia="Times New Roman" w:hAnsi="Times New Roman" w:cs="Times New Roman"/>
        </w:rPr>
        <w:t xml:space="preserve"> </w:t>
      </w:r>
      <w:r w:rsidRPr="00146D36">
        <w:rPr>
          <w:rFonts w:ascii="Arial" w:eastAsia="Times New Roman" w:hAnsi="Arial" w:cs="Arial"/>
        </w:rPr>
        <w:t>EQF, ESCO, and EQAVET were analysed to gather</w:t>
      </w:r>
      <w:r>
        <w:rPr>
          <w:rFonts w:ascii="Times New Roman" w:eastAsia="Times New Roman" w:hAnsi="Times New Roman" w:cs="Times New Roman"/>
        </w:rPr>
        <w:t xml:space="preserve"> </w:t>
      </w:r>
      <w:r w:rsidRPr="00146D36">
        <w:rPr>
          <w:rFonts w:ascii="Arial" w:eastAsia="Times New Roman" w:hAnsi="Arial" w:cs="Arial"/>
        </w:rPr>
        <w:t>information that later fed into EU tools such as</w:t>
      </w:r>
      <w:r>
        <w:rPr>
          <w:rFonts w:ascii="Times New Roman" w:eastAsia="Times New Roman" w:hAnsi="Times New Roman" w:cs="Times New Roman"/>
        </w:rPr>
        <w:t xml:space="preserve"> </w:t>
      </w:r>
      <w:r w:rsidRPr="00146D36">
        <w:rPr>
          <w:rFonts w:ascii="Arial" w:eastAsia="Times New Roman" w:hAnsi="Arial" w:cs="Arial"/>
        </w:rPr>
        <w:t>CEDEFOP’s Intelligence portal or improved the ESCO</w:t>
      </w:r>
      <w:r>
        <w:rPr>
          <w:rFonts w:ascii="Times New Roman" w:eastAsia="Times New Roman" w:hAnsi="Times New Roman" w:cs="Times New Roman"/>
        </w:rPr>
        <w:t xml:space="preserve"> </w:t>
      </w:r>
      <w:r w:rsidRPr="00146D36">
        <w:rPr>
          <w:rFonts w:ascii="Arial" w:eastAsia="Times New Roman" w:hAnsi="Arial" w:cs="Arial"/>
        </w:rPr>
        <w:t>platform. The ultimate goal was to develop a sector</w:t>
      </w:r>
      <w:r>
        <w:rPr>
          <w:rFonts w:ascii="Times New Roman" w:eastAsia="Times New Roman" w:hAnsi="Times New Roman" w:cs="Times New Roman"/>
        </w:rPr>
        <w:t xml:space="preserve"> </w:t>
      </w:r>
      <w:r w:rsidRPr="00146D36">
        <w:rPr>
          <w:rFonts w:ascii="Arial" w:eastAsia="Times New Roman" w:hAnsi="Arial" w:cs="Arial"/>
        </w:rPr>
        <w:t>skills strategy that could be rolled out at national</w:t>
      </w:r>
      <w:r>
        <w:rPr>
          <w:rFonts w:ascii="Times New Roman" w:eastAsia="Times New Roman" w:hAnsi="Times New Roman" w:cs="Times New Roman"/>
        </w:rPr>
        <w:t xml:space="preserve"> </w:t>
      </w:r>
      <w:r w:rsidRPr="00146D36">
        <w:rPr>
          <w:rFonts w:ascii="Arial" w:eastAsia="Times New Roman" w:hAnsi="Arial" w:cs="Arial"/>
        </w:rPr>
        <w:t>and regional levels.</w:t>
      </w:r>
      <w:r w:rsidRPr="00146D36">
        <w:rPr>
          <w:rFonts w:ascii="Times New Roman" w:eastAsia="Times New Roman" w:hAnsi="Times New Roman" w:cs="Times New Roman"/>
        </w:rPr>
        <w:br/>
      </w:r>
      <w:r w:rsidRPr="00146D36">
        <w:rPr>
          <w:rFonts w:ascii="Arial" w:eastAsia="Times New Roman" w:hAnsi="Arial" w:cs="Arial"/>
        </w:rPr>
        <w:t>The final skills strategy addressed the needs of the</w:t>
      </w:r>
      <w:r>
        <w:rPr>
          <w:rFonts w:ascii="Times New Roman" w:eastAsia="Times New Roman" w:hAnsi="Times New Roman" w:cs="Times New Roman"/>
        </w:rPr>
        <w:t xml:space="preserve"> </w:t>
      </w:r>
      <w:r w:rsidRPr="00146D36">
        <w:rPr>
          <w:rFonts w:ascii="Arial" w:eastAsia="Times New Roman" w:hAnsi="Arial" w:cs="Arial"/>
        </w:rPr>
        <w:t>future, integrating transversal competences in the</w:t>
      </w:r>
      <w:r>
        <w:rPr>
          <w:rFonts w:ascii="Times New Roman" w:eastAsia="Times New Roman" w:hAnsi="Times New Roman" w:cs="Times New Roman"/>
        </w:rPr>
        <w:t xml:space="preserve"> </w:t>
      </w:r>
      <w:r w:rsidRPr="00146D36">
        <w:rPr>
          <w:rFonts w:ascii="Arial" w:eastAsia="Times New Roman" w:hAnsi="Arial" w:cs="Arial"/>
        </w:rPr>
        <w:t>fields of innovation, digitalisation, new technologies,</w:t>
      </w:r>
      <w:r>
        <w:rPr>
          <w:rFonts w:ascii="Times New Roman" w:eastAsia="Times New Roman" w:hAnsi="Times New Roman" w:cs="Times New Roman"/>
        </w:rPr>
        <w:t xml:space="preserve"> </w:t>
      </w:r>
      <w:r w:rsidRPr="00146D36">
        <w:rPr>
          <w:rFonts w:ascii="Arial" w:eastAsia="Times New Roman" w:hAnsi="Arial" w:cs="Arial"/>
        </w:rPr>
        <w:t>green/blue</w:t>
      </w:r>
      <w:r>
        <w:rPr>
          <w:rFonts w:ascii="Arial" w:eastAsia="Times New Roman" w:hAnsi="Arial" w:cs="Arial"/>
        </w:rPr>
        <w:t xml:space="preserve"> </w:t>
      </w:r>
      <w:r w:rsidRPr="00146D36">
        <w:rPr>
          <w:rFonts w:ascii="Arial" w:eastAsia="Times New Roman" w:hAnsi="Arial" w:cs="Arial"/>
        </w:rPr>
        <w:t>economies, and sustainability.</w:t>
      </w:r>
    </w:p>
    <w:p w14:paraId="4F99B1D4" w14:textId="77777777" w:rsidR="00146D36" w:rsidRPr="00146D36" w:rsidRDefault="00146D36" w:rsidP="00146D36">
      <w:pPr>
        <w:rPr>
          <w:rFonts w:ascii="Times New Roman" w:eastAsia="Times New Roman" w:hAnsi="Times New Roman" w:cs="Times New Roman"/>
        </w:rPr>
      </w:pPr>
      <w:r w:rsidRPr="00146D36">
        <w:rPr>
          <w:rFonts w:ascii="Arial" w:eastAsia="Times New Roman" w:hAnsi="Arial" w:cs="Arial"/>
        </w:rPr>
        <w:t>CHARTER worked to impact and benefit the</w:t>
      </w:r>
      <w:r>
        <w:rPr>
          <w:rFonts w:ascii="Times New Roman" w:eastAsia="Times New Roman" w:hAnsi="Times New Roman" w:cs="Times New Roman"/>
        </w:rPr>
        <w:t xml:space="preserve"> </w:t>
      </w:r>
      <w:r w:rsidRPr="00146D36">
        <w:rPr>
          <w:rFonts w:ascii="Arial" w:eastAsia="Times New Roman" w:hAnsi="Arial" w:cs="Arial"/>
        </w:rPr>
        <w:t>following target groups: universities, higher</w:t>
      </w:r>
      <w:r>
        <w:rPr>
          <w:rFonts w:ascii="Times New Roman" w:eastAsia="Times New Roman" w:hAnsi="Times New Roman" w:cs="Times New Roman"/>
        </w:rPr>
        <w:t xml:space="preserve"> </w:t>
      </w:r>
      <w:r w:rsidRPr="00146D36">
        <w:rPr>
          <w:rFonts w:ascii="Arial" w:eastAsia="Times New Roman" w:hAnsi="Arial" w:cs="Arial"/>
        </w:rPr>
        <w:t>education institutes and academics; VET centres</w:t>
      </w:r>
      <w:r>
        <w:rPr>
          <w:rFonts w:ascii="Times New Roman" w:eastAsia="Times New Roman" w:hAnsi="Times New Roman" w:cs="Times New Roman"/>
        </w:rPr>
        <w:t xml:space="preserve"> </w:t>
      </w:r>
      <w:r w:rsidRPr="00146D36">
        <w:rPr>
          <w:rFonts w:ascii="Arial" w:eastAsia="Times New Roman" w:hAnsi="Arial" w:cs="Arial"/>
        </w:rPr>
        <w:t>and trainers; students; the cultural heritage industry</w:t>
      </w:r>
      <w:r>
        <w:rPr>
          <w:rFonts w:ascii="Times New Roman" w:eastAsia="Times New Roman" w:hAnsi="Times New Roman" w:cs="Times New Roman"/>
        </w:rPr>
        <w:t xml:space="preserve"> </w:t>
      </w:r>
      <w:r w:rsidRPr="00146D36">
        <w:rPr>
          <w:rFonts w:ascii="Arial" w:eastAsia="Times New Roman" w:hAnsi="Arial" w:cs="Arial"/>
        </w:rPr>
        <w:t>and professionals; and networks</w:t>
      </w:r>
    </w:p>
    <w:p w14:paraId="5647EACE" w14:textId="77777777" w:rsidR="00475608" w:rsidRDefault="00475608"/>
    <w:sectPr w:rsidR="00475608" w:rsidSect="000D43C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Light">
    <w:altName w:val="Arial"/>
    <w:panose1 w:val="020B0604020202020204"/>
    <w:charset w:val="00"/>
    <w:family w:val="auto"/>
    <w:pitch w:val="variable"/>
    <w:sig w:usb0="E00002FF" w:usb1="5000205B" w:usb2="00000020" w:usb3="00000000" w:csb0="0000019F" w:csb1="00000000"/>
  </w:font>
  <w:font w:name="Roboto">
    <w:altName w:val="Arial"/>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36"/>
    <w:rsid w:val="000764F7"/>
    <w:rsid w:val="000D43C6"/>
    <w:rsid w:val="00146D36"/>
    <w:rsid w:val="00163922"/>
    <w:rsid w:val="003B50F0"/>
    <w:rsid w:val="003B7563"/>
    <w:rsid w:val="00475608"/>
    <w:rsid w:val="005E437E"/>
    <w:rsid w:val="006303C0"/>
    <w:rsid w:val="006C563E"/>
    <w:rsid w:val="008129BD"/>
    <w:rsid w:val="00AB261E"/>
    <w:rsid w:val="00BC5186"/>
    <w:rsid w:val="00F1751A"/>
    <w:rsid w:val="00FD4B3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098DF7"/>
  <w15:chartTrackingRefBased/>
  <w15:docId w15:val="{D563F5B5-6119-5143-9F2C-ADC98137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26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764F7"/>
    <w:pPr>
      <w:spacing w:before="100" w:beforeAutospacing="1" w:after="100" w:afterAutospacing="1"/>
    </w:pPr>
    <w:rPr>
      <w:rFonts w:ascii="Times New Roman" w:eastAsia="Times New Roman" w:hAnsi="Times New Roman" w:cs="Times New Roman"/>
    </w:rPr>
  </w:style>
  <w:style w:type="table" w:styleId="Grigliatabella">
    <w:name w:val="Table Grid"/>
    <w:basedOn w:val="Tabellanormale"/>
    <w:uiPriority w:val="39"/>
    <w:rsid w:val="000764F7"/>
    <w:rPr>
      <w:rFonts w:eastAsiaTheme="minorHAns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764F7"/>
    <w:rPr>
      <w:color w:val="0563C1"/>
      <w:u w:val="single"/>
    </w:rPr>
  </w:style>
  <w:style w:type="paragraph" w:styleId="Nessunaspaziatura">
    <w:name w:val="No Spacing"/>
    <w:uiPriority w:val="1"/>
    <w:qFormat/>
    <w:rsid w:val="006C563E"/>
  </w:style>
  <w:style w:type="character" w:customStyle="1" w:styleId="Titolo1Carattere">
    <w:name w:val="Titolo 1 Carattere"/>
    <w:basedOn w:val="Carpredefinitoparagrafo"/>
    <w:link w:val="Titolo1"/>
    <w:uiPriority w:val="9"/>
    <w:rsid w:val="00AB261E"/>
    <w:rPr>
      <w:rFonts w:asciiTheme="majorHAnsi" w:eastAsiaTheme="majorEastAsia" w:hAnsiTheme="majorHAnsi" w:cstheme="majorBidi"/>
      <w:color w:val="2F5496" w:themeColor="accent1" w:themeShade="BF"/>
      <w:sz w:val="32"/>
      <w:szCs w:val="32"/>
    </w:rPr>
  </w:style>
  <w:style w:type="character" w:styleId="Collegamentovisitato">
    <w:name w:val="FollowedHyperlink"/>
    <w:basedOn w:val="Carpredefinitoparagrafo"/>
    <w:uiPriority w:val="99"/>
    <w:semiHidden/>
    <w:unhideWhenUsed/>
    <w:rsid w:val="00163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17398">
      <w:bodyDiv w:val="1"/>
      <w:marLeft w:val="0"/>
      <w:marRight w:val="0"/>
      <w:marTop w:val="0"/>
      <w:marBottom w:val="0"/>
      <w:divBdr>
        <w:top w:val="none" w:sz="0" w:space="0" w:color="auto"/>
        <w:left w:val="none" w:sz="0" w:space="0" w:color="auto"/>
        <w:bottom w:val="none" w:sz="0" w:space="0" w:color="auto"/>
        <w:right w:val="none" w:sz="0" w:space="0" w:color="auto"/>
      </w:divBdr>
      <w:divsChild>
        <w:div w:id="1003816804">
          <w:marLeft w:val="0"/>
          <w:marRight w:val="0"/>
          <w:marTop w:val="0"/>
          <w:marBottom w:val="0"/>
          <w:divBdr>
            <w:top w:val="none" w:sz="0" w:space="0" w:color="auto"/>
            <w:left w:val="none" w:sz="0" w:space="0" w:color="auto"/>
            <w:bottom w:val="none" w:sz="0" w:space="0" w:color="auto"/>
            <w:right w:val="none" w:sz="0" w:space="0" w:color="auto"/>
          </w:divBdr>
        </w:div>
      </w:divsChild>
    </w:div>
    <w:div w:id="4447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rter-alliance.eu/" TargetMode="External"/><Relationship Id="rId5" Type="http://schemas.openxmlformats.org/officeDocument/2006/relationships/hyperlink" Target="https://charter-alliance.eu/wp-content/uploads/2024/11/CHARTER-Alliance_Recommendations_2024.pdf" TargetMode="External"/><Relationship Id="rId4" Type="http://schemas.openxmlformats.org/officeDocument/2006/relationships/hyperlink" Target="https://charter-alliance.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11</cp:revision>
  <dcterms:created xsi:type="dcterms:W3CDTF">2025-01-18T13:58:00Z</dcterms:created>
  <dcterms:modified xsi:type="dcterms:W3CDTF">2025-01-18T14:30:00Z</dcterms:modified>
</cp:coreProperties>
</file>